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08" w:rsidRPr="00F80633" w:rsidRDefault="00F80633">
      <w:r w:rsidRPr="00F80633">
        <w:t xml:space="preserve"> </w:t>
      </w:r>
      <w:r w:rsidR="00153508">
        <w:rPr>
          <w:rFonts w:ascii="Arial" w:hAnsi="Arial" w:cs="Arial"/>
          <w:sz w:val="24"/>
          <w:szCs w:val="24"/>
        </w:rPr>
        <w:t xml:space="preserve">Στα </w:t>
      </w:r>
      <w:r w:rsidR="00CE43B0">
        <w:rPr>
          <w:rFonts w:ascii="Arial" w:hAnsi="Arial" w:cs="Arial"/>
          <w:sz w:val="24"/>
          <w:szCs w:val="24"/>
        </w:rPr>
        <w:t>πλαίσια</w:t>
      </w:r>
      <w:r w:rsidR="00153508">
        <w:rPr>
          <w:rFonts w:ascii="Arial" w:hAnsi="Arial" w:cs="Arial"/>
          <w:sz w:val="24"/>
          <w:szCs w:val="24"/>
        </w:rPr>
        <w:t xml:space="preserve"> του </w:t>
      </w:r>
      <w:r w:rsidR="00CE43B0">
        <w:rPr>
          <w:rFonts w:ascii="Arial" w:hAnsi="Arial" w:cs="Arial"/>
          <w:sz w:val="24"/>
          <w:szCs w:val="24"/>
        </w:rPr>
        <w:t>προγράμματος</w:t>
      </w:r>
      <w:r w:rsidR="00153508">
        <w:rPr>
          <w:rFonts w:ascii="Arial" w:hAnsi="Arial" w:cs="Arial"/>
          <w:sz w:val="24"/>
          <w:szCs w:val="24"/>
        </w:rPr>
        <w:t xml:space="preserve"> μας </w:t>
      </w:r>
      <w:r w:rsidR="00CE43B0">
        <w:rPr>
          <w:rFonts w:ascii="Arial" w:hAnsi="Arial" w:cs="Arial"/>
          <w:sz w:val="24"/>
          <w:szCs w:val="24"/>
        </w:rPr>
        <w:t>αποφασίσαμε</w:t>
      </w:r>
      <w:r w:rsidR="00153508">
        <w:rPr>
          <w:rFonts w:ascii="Arial" w:hAnsi="Arial" w:cs="Arial"/>
          <w:sz w:val="24"/>
          <w:szCs w:val="24"/>
        </w:rPr>
        <w:t xml:space="preserve"> να </w:t>
      </w:r>
      <w:r w:rsidR="00CE43B0">
        <w:rPr>
          <w:rFonts w:ascii="Arial" w:hAnsi="Arial" w:cs="Arial"/>
          <w:sz w:val="24"/>
          <w:szCs w:val="24"/>
        </w:rPr>
        <w:t>κάνουμε μια έρευνα, έτσι αναρτήσαμε</w:t>
      </w:r>
      <w:r w:rsidR="00153508">
        <w:rPr>
          <w:rFonts w:ascii="Arial" w:hAnsi="Arial" w:cs="Arial"/>
          <w:sz w:val="24"/>
          <w:szCs w:val="24"/>
        </w:rPr>
        <w:t xml:space="preserve"> ένα </w:t>
      </w:r>
      <w:r w:rsidR="00CE43B0">
        <w:rPr>
          <w:rFonts w:ascii="Arial" w:hAnsi="Arial" w:cs="Arial"/>
          <w:sz w:val="24"/>
          <w:szCs w:val="24"/>
        </w:rPr>
        <w:t xml:space="preserve">ερωτηματολόγιο με σκοπό </w:t>
      </w:r>
      <w:r w:rsidR="00CE43B0" w:rsidRPr="00153508">
        <w:rPr>
          <w:rFonts w:ascii="Arial" w:hAnsi="Arial" w:cs="Arial"/>
          <w:sz w:val="24"/>
          <w:szCs w:val="24"/>
        </w:rPr>
        <w:t>να μάθουμε την αντίληψη και την άποψη</w:t>
      </w:r>
      <w:r w:rsidR="00CE43B0">
        <w:rPr>
          <w:rFonts w:ascii="Arial" w:hAnsi="Arial" w:cs="Arial"/>
          <w:sz w:val="24"/>
          <w:szCs w:val="24"/>
        </w:rPr>
        <w:t xml:space="preserve"> του κοινωνικού μας περιβάλλοντος σχετικά με τα φαινόμενα που μελετάμε στην εργασία. Στη </w:t>
      </w:r>
      <w:r>
        <w:rPr>
          <w:rFonts w:ascii="Arial" w:hAnsi="Arial" w:cs="Arial"/>
          <w:sz w:val="24"/>
          <w:szCs w:val="24"/>
        </w:rPr>
        <w:t>συνέχεια</w:t>
      </w:r>
      <w:r w:rsidR="00CE4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δηχθήκαμε</w:t>
      </w:r>
      <w:r w:rsidR="00CE4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ένα</w:t>
      </w:r>
      <w:r w:rsidR="00CE4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ικανοποιητικό</w:t>
      </w:r>
      <w:r w:rsidR="00B75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ποσοστό</w:t>
      </w:r>
      <w:r w:rsidR="00B75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απαντήσεων</w:t>
      </w:r>
      <w:r w:rsidR="00B755A8">
        <w:rPr>
          <w:rFonts w:ascii="Arial" w:hAnsi="Arial" w:cs="Arial"/>
          <w:sz w:val="24"/>
          <w:szCs w:val="24"/>
        </w:rPr>
        <w:t xml:space="preserve">. </w:t>
      </w:r>
    </w:p>
    <w:p w:rsidR="00CE43B0" w:rsidRDefault="00CE43B0">
      <w:pPr>
        <w:rPr>
          <w:rFonts w:ascii="Arial" w:hAnsi="Arial" w:cs="Arial"/>
          <w:sz w:val="24"/>
          <w:szCs w:val="24"/>
        </w:rPr>
      </w:pPr>
    </w:p>
    <w:p w:rsidR="00F80633" w:rsidRDefault="00CE43B0" w:rsidP="00F8063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755A8">
        <w:rPr>
          <w:rFonts w:ascii="Arial" w:hAnsi="Arial" w:cs="Arial"/>
          <w:b/>
          <w:sz w:val="24"/>
          <w:szCs w:val="24"/>
        </w:rPr>
        <w:t xml:space="preserve"> </w:t>
      </w:r>
      <w:r w:rsidR="00B755A8" w:rsidRPr="00B755A8">
        <w:rPr>
          <w:rFonts w:ascii="Arial" w:hAnsi="Arial" w:cs="Arial"/>
          <w:b/>
          <w:sz w:val="24"/>
          <w:szCs w:val="24"/>
          <w:lang w:val="en-US"/>
        </w:rPr>
        <w:t>“</w:t>
      </w:r>
      <w:r w:rsidR="00F80633" w:rsidRPr="00CE43B0">
        <w:rPr>
          <w:rFonts w:ascii="Arial" w:hAnsi="Arial" w:cs="Arial"/>
          <w:b/>
          <w:sz w:val="24"/>
          <w:szCs w:val="24"/>
          <w:u w:val="single"/>
        </w:rPr>
        <w:t>Ανεξήγητα φαινόμενα</w:t>
      </w:r>
      <w:r w:rsidR="00B755A8">
        <w:rPr>
          <w:rFonts w:ascii="Arial" w:hAnsi="Arial" w:cs="Arial"/>
          <w:b/>
          <w:sz w:val="24"/>
          <w:szCs w:val="24"/>
          <w:lang w:val="en-US"/>
        </w:rPr>
        <w:t>”</w:t>
      </w:r>
    </w:p>
    <w:p w:rsidR="00B755A8" w:rsidRPr="00F80633" w:rsidRDefault="00B755A8" w:rsidP="00F8063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>Φύλο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23" name="Εικόνα 23" descr="https://chart.googleapis.com/chart?cht=p&amp;chs=345x150&amp;chl=%CE%86%CE%BD%CE%B4%CF%81%CE%B1%CF%82%20%5B52%5D%7C%CE%93%CF%85%CE%BD%CE%B1%CE%AF%CE%BA%CE%B1%20%5B48%5D&amp;chco=0000e0&amp;chd=e%3Ah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hart.googleapis.com/chart?cht=p&amp;chs=345x150&amp;chl=%CE%86%CE%BD%CE%B4%CF%81%CE%B1%CF%82%20%5B52%5D%7C%CE%93%CF%85%CE%BD%CE%B1%CE%AF%CE%BA%CE%B1%20%5B48%5D&amp;chco=0000e0&amp;chd=e%3AhR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Άνδρας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52%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Γυναίκα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48%</w:t>
            </w:r>
          </w:p>
        </w:tc>
      </w:tr>
    </w:tbl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Ηλικία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24" name="Εικόνα 24" descr="https://chart.googleapis.com/chart?cht=p&amp;chs=345x150&amp;chl=%CE%88%CF%89%CF%82%2020%20%5B79%5D%7C21-30%20%5B2%5D%7C31-45%20%5B9%5D%7C46-65%20%5B3%5D%7C%CE%86%CE%BD%CF%89%20%CF%84%CF%89%CE%BD%2065%20%5B7%5D&amp;chco=ff9900&amp;chd=e%3AyjBRFwB6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hart.googleapis.com/chart?cht=p&amp;chs=345x150&amp;chl=%CE%88%CF%89%CF%82%2020%20%5B79%5D%7C21-30%20%5B2%5D%7C31-45%20%5B9%5D%7C46-65%20%5B3%5D%7C%CE%86%CE%BD%CF%89%20%CF%84%CF%89%CE%BD%2065%20%5B7%5D&amp;chco=ff9900&amp;chd=e%3AyjBRFwB6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Έως 20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79%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21-30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31-45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9%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46-65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Άνω των 65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7%</w:t>
            </w:r>
          </w:p>
        </w:tc>
      </w:tr>
    </w:tbl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Εκπαίδευση</w:t>
      </w:r>
    </w:p>
    <w:p w:rsidR="00B755A8" w:rsidRDefault="00F80633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1428750"/>
            <wp:effectExtent l="19050" t="0" r="9525" b="0"/>
            <wp:docPr id="22" name="21 - Εικόνα" descr="chart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10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Υποχρεωτική (Δημοτικό-Γυμνάσιο)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14%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Δευτεροβάθμια (Λύκειο)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71%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Τριτοβάθμια (ΑΕΙ-ΤΕΙ)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15%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Θεωρείτε πως τα παιχνίδια του νου μπορούν να επηρεάσουν την ψυχική και σωματική υγεία;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25" name="Εικόνα 25" descr="https://chart.googleapis.com/chart?cht=p&amp;chs=345x150&amp;chl=%CE%9D%CE%B1%CE%B9%20%5B77%5D%7C%CE%8C%CF%87%CE%B9%20%5B23%5D&amp;chco=dcca02&amp;chd=e%3Ax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hart.googleapis.com/chart?cht=p&amp;chs=345x150&amp;chl=%CE%9D%CE%B1%CE%B9%20%5B77%5D%7C%CE%8C%CF%87%CE%B9%20%5B23%5D&amp;chco=dcca02&amp;chd=e%3AxRO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77%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23%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Γραμμές της </w:t>
      </w:r>
      <w:proofErr w:type="spellStart"/>
      <w:r>
        <w:rPr>
          <w:rFonts w:ascii="Arial" w:hAnsi="Arial" w:cs="Arial"/>
          <w:color w:val="000000"/>
        </w:rPr>
        <w:t>Νάσκα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αγρογλυφικά</w:t>
      </w:r>
      <w:proofErr w:type="spellEnd"/>
      <w:r>
        <w:rPr>
          <w:rFonts w:ascii="Arial" w:hAnsi="Arial" w:cs="Arial"/>
          <w:color w:val="000000"/>
        </w:rPr>
        <w:t xml:space="preserve"> σχέδια </w:t>
      </w:r>
      <w:proofErr w:type="spellStart"/>
      <w:r>
        <w:rPr>
          <w:rFonts w:ascii="Arial" w:hAnsi="Arial" w:cs="Arial"/>
          <w:color w:val="000000"/>
        </w:rPr>
        <w:t>Πέρου</w:t>
      </w:r>
      <w:proofErr w:type="spellEnd"/>
      <w:r>
        <w:rPr>
          <w:rFonts w:ascii="Arial" w:hAnsi="Arial" w:cs="Arial"/>
          <w:color w:val="000000"/>
        </w:rPr>
        <w:t>) [Γνωρίζετε αυτά τα φαινόμενα;]</w:t>
      </w:r>
    </w:p>
    <w:p w:rsidR="00B755A8" w:rsidRDefault="00F80633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21" name="20 - Εικόνα" descr="char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9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26%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Οχι</w:t>
            </w:r>
            <w:proofErr w:type="spellEnd"/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74%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Τρίγωνο των Βερμούδων [Γνωρίζετε αυτά τα φαινόμενα;]</w:t>
      </w:r>
    </w:p>
    <w:p w:rsidR="00B755A8" w:rsidRDefault="00F80633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20" name="19 - Εικόνα" descr="chart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8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89%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Οχι</w:t>
            </w:r>
            <w:proofErr w:type="spellEnd"/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11%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Μαγνητικά πεδία [Γνωρίζετε αυτά τα φαινόμενα;]</w:t>
      </w:r>
    </w:p>
    <w:p w:rsidR="00B755A8" w:rsidRDefault="00F80633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19" name="18 - Εικόνα" descr="chart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7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84%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Οχι</w:t>
            </w:r>
            <w:proofErr w:type="spellEnd"/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16%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Φαντάσμτα</w:t>
      </w:r>
      <w:proofErr w:type="spellEnd"/>
      <w:r>
        <w:rPr>
          <w:rFonts w:ascii="Arial" w:hAnsi="Arial" w:cs="Arial"/>
          <w:color w:val="000000"/>
        </w:rPr>
        <w:t xml:space="preserve"> [Πιστεύετε στην ύπαρξη των παρακάτω;]</w:t>
      </w:r>
    </w:p>
    <w:p w:rsidR="00B755A8" w:rsidRDefault="00F80633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18" name="17 - Εικόνα" descr="char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6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21%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79%</w:t>
            </w:r>
          </w:p>
        </w:tc>
      </w:tr>
    </w:tbl>
    <w:p w:rsidR="00F80633" w:rsidRDefault="00F80633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Πνεύματα [Πιστεύετε στην ύπαρξη των παρακάτω;]</w:t>
      </w:r>
    </w:p>
    <w:p w:rsidR="00B755A8" w:rsidRDefault="00F80633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17" name="16 - Εικόνα" descr="chart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5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791"/>
        <w:gridCol w:w="506"/>
      </w:tblGrid>
      <w:tr w:rsidR="00B755A8" w:rsidTr="00F80633">
        <w:tc>
          <w:tcPr>
            <w:tcW w:w="35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7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50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56%</w:t>
            </w:r>
          </w:p>
        </w:tc>
      </w:tr>
      <w:tr w:rsidR="00B755A8" w:rsidTr="00F80633">
        <w:tc>
          <w:tcPr>
            <w:tcW w:w="35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791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50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44%</w:t>
            </w:r>
          </w:p>
        </w:tc>
      </w:tr>
    </w:tbl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Δαίμονες [Πιστεύετε στην ύπαρξη των παρακάτω;]</w:t>
      </w:r>
    </w:p>
    <w:p w:rsidR="00B755A8" w:rsidRDefault="00F80633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16" name="15 - Εικόνα" descr="chart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4)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47%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53%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Pr="0070795C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Γοργόνες [Πιστεύετε στην ύπαρξη των παρακάτω;]</w:t>
      </w:r>
    </w:p>
    <w:p w:rsidR="00F80633" w:rsidRPr="00F80633" w:rsidRDefault="00F80633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86125" cy="857250"/>
            <wp:effectExtent l="19050" t="0" r="9525" b="0"/>
            <wp:docPr id="15" name="14 - Εικόνα" descr="char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3)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24%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76%</w:t>
            </w:r>
          </w:p>
        </w:tc>
      </w:tr>
    </w:tbl>
    <w:p w:rsidR="00F80633" w:rsidRDefault="00F80633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Βουντού [Πιστεύετε στην ύπαρξη των παρακάτω;]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6" name="5 - Εικόνα" descr="char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2)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39%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61%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Déjà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</w:t>
      </w:r>
      <w:proofErr w:type="spellEnd"/>
      <w:r>
        <w:rPr>
          <w:rFonts w:ascii="Arial" w:hAnsi="Arial" w:cs="Arial"/>
          <w:color w:val="000000"/>
        </w:rPr>
        <w:t xml:space="preserve"> [Πιστεύετε στην ύπαρξη των παρακάτω;]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857250"/>
            <wp:effectExtent l="19050" t="0" r="9525" b="0"/>
            <wp:docPr id="4" name="3 - Εικόνα" descr="ch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1)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60%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40%</w:t>
            </w:r>
          </w:p>
        </w:tc>
      </w:tr>
    </w:tbl>
    <w:p w:rsidR="00B755A8" w:rsidRDefault="00B755A8" w:rsidP="00B755A8">
      <w:pPr>
        <w:pStyle w:val="2"/>
        <w:shd w:val="clear" w:color="auto" w:fill="EEEEEE"/>
        <w:spacing w:before="48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[Βίντεο]</w:t>
      </w: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Πιστευέτε</w:t>
      </w:r>
      <w:proofErr w:type="spellEnd"/>
      <w:r>
        <w:rPr>
          <w:rFonts w:ascii="Arial" w:hAnsi="Arial" w:cs="Arial"/>
          <w:color w:val="000000"/>
        </w:rPr>
        <w:t xml:space="preserve"> στο παραπάνω φαινόμενο των μαγνητικών πεδίων;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26" name="Εικόνα 26" descr="https://chart.googleapis.com/chart?cht=p&amp;chs=345x150&amp;chl=%CE%9D%CE%B1%CE%B9%20%5B36%5D%7C%CE%8C%CF%87%CE%B9%20%5B26%5D%7C%CE%8A%CF%83%CF%89%CF%82%20%5B38%5D&amp;chco=ff9900&amp;chd=e%3AXCQo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hart.googleapis.com/chart?cht=p&amp;chs=345x150&amp;chl=%CE%9D%CE%B1%CE%B9%20%5B36%5D%7C%CE%8C%CF%87%CE%B9%20%5B26%5D%7C%CE%8A%CF%83%CF%89%CF%82%20%5B38%5D&amp;chco=ff9900&amp;chd=e%3AXCQoY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36%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26%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Ίσως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38%</w:t>
            </w:r>
          </w:p>
        </w:tc>
      </w:tr>
    </w:tbl>
    <w:p w:rsidR="0070795C" w:rsidRDefault="0070795C" w:rsidP="00B755A8">
      <w:pPr>
        <w:pStyle w:val="2"/>
        <w:shd w:val="clear" w:color="auto" w:fill="EEEEEE"/>
        <w:spacing w:before="48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2"/>
        <w:shd w:val="clear" w:color="auto" w:fill="EEEEEE"/>
        <w:spacing w:before="48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[Βίντεο]</w:t>
      </w: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Και ποια είναι η γνώμη σας για το παραπάνω βίντεο;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6125" cy="1428750"/>
            <wp:effectExtent l="19050" t="0" r="9525" b="0"/>
            <wp:docPr id="2" name="1 - Εικόνα" descr="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Είναι ψεύτικο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43%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Είναι αληθινό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19%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Δεν ξέρω/Δεν απαντώ.....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38%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Πιστεύετε στις προκαταλήψεις;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27" name="Εικόνα 27" descr="https://chart.googleapis.com/chart?cht=p&amp;chs=345x150&amp;chl=%CE%9D%CE%B1%CE%B9%20%5B34%5D%7C%CE%8C%CF%87%CE%B9%20%5B35%5D%7C%CE%9C%CE%B5%CF%81%CE%B9%CE%BA%CE%AD%CF%82%20%CF%86%CE%BF%CF%81%CE%AD%20%5B31%5D&amp;chco=dcca02&amp;chd=e%3AVwWZ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hart.googleapis.com/chart?cht=p&amp;chs=345x150&amp;chl=%CE%9D%CE%B1%CE%B9%20%5B34%5D%7C%CE%8C%CF%87%CE%B9%20%5B35%5D%7C%CE%9C%CE%B5%CF%81%CE%B9%CE%BA%CE%AD%CF%82%20%CF%86%CE%BF%CF%81%CE%AD%20%5B31%5D&amp;chco=dcca02&amp;chd=e%3AVwWZT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34%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35%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Μερικές φορές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31%</w:t>
            </w:r>
          </w:p>
        </w:tc>
      </w:tr>
    </w:tbl>
    <w:p w:rsidR="0070795C" w:rsidRDefault="0070795C" w:rsidP="00F80633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70795C" w:rsidRDefault="0070795C" w:rsidP="00F80633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Pr="0070795C" w:rsidRDefault="00B755A8" w:rsidP="00F80633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Έχετε ποτέ βρεθεί αντιμέτωποι με εκδηλώσεις μαγεία;</w:t>
      </w:r>
      <w:r w:rsidR="00F80633" w:rsidRPr="00F80633">
        <w:rPr>
          <w:rFonts w:ascii="Arial" w:hAnsi="Arial" w:cs="Arial"/>
          <w:color w:val="000000"/>
        </w:rPr>
        <w:t xml:space="preserve"> </w:t>
      </w:r>
    </w:p>
    <w:p w:rsidR="0070795C" w:rsidRPr="0070795C" w:rsidRDefault="0070795C" w:rsidP="00F80633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86125" cy="1428750"/>
            <wp:effectExtent l="19050" t="0" r="9525" b="0"/>
            <wp:docPr id="35" name="34 - Εικόνα" descr="chart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(11)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570"/>
        <w:gridCol w:w="727"/>
        <w:gridCol w:w="86"/>
      </w:tblGrid>
      <w:tr w:rsidR="00B755A8" w:rsidTr="00F80633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813" w:type="dxa"/>
            <w:gridSpan w:val="2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17%</w:t>
            </w:r>
          </w:p>
        </w:tc>
      </w:tr>
      <w:tr w:rsidR="00B755A8" w:rsidTr="00B755A8">
        <w:trPr>
          <w:gridAfter w:val="1"/>
          <w:wAfter w:w="86" w:type="dxa"/>
        </w:trPr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74%</w:t>
            </w:r>
          </w:p>
        </w:tc>
      </w:tr>
      <w:tr w:rsidR="00B755A8" w:rsidTr="00B755A8">
        <w:trPr>
          <w:gridAfter w:val="1"/>
          <w:wAfter w:w="86" w:type="dxa"/>
        </w:trPr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Δεν ξέρω/Δεν απαντώ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9%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Οι ταινίες με μαγεία και εξορκισμό σας έχουν προκαλέσει φόβο και αϋπνίες ;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29" name="Εικόνα 29" descr="https://chart.googleapis.com/chart?cht=p&amp;chs=345x150&amp;chl=%CE%9D%CE%B1%CE%B9%20%5B41%5D%7C%CE%8C%CF%87%CE%B9%20%5B54%5D%7C%CE%94%CE%B5%CE%BD%20%CE%BE%CE%AD%CF%81%CF%89%20%2F%CE%94%CE%B5%CE%BD%20%5B5%5D&amp;chco=9601ac&amp;chd=e%3AaOij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hart.googleapis.com/chart?cht=p&amp;chs=345x150&amp;chl=%CE%9D%CE%B1%CE%B9%20%5B41%5D%7C%CE%8C%CF%87%CE%B9%20%5B54%5D%7C%CE%94%CE%B5%CE%BD%20%CE%BE%CE%AD%CF%81%CF%89%20%2F%CE%94%CE%B5%CE%BD%20%5B5%5D&amp;chco=9601ac&amp;chd=e%3AaOijD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7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41%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Όχι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54%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Δεν ξέρω /Δεν απαντώ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5%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Αν Ναι, με ποιον τρόπο σας έχει επηρεάσει;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30" name="Εικόνα 30" descr="https://chart.googleapis.com/chart?cht=p&amp;chs=345x150&amp;chl=%CE%94%CE%B5%CE%BD%20%CE%BE%CE%B1%CE%BD%CE%B1%CE%B5%CE%AF%CE%B4%CE%B1%20%20%5B8%5D%7C%CE%91%CF%80%CE%BB%CE%AC%20%CE%BC%CE%BF%CF%85%20%CE%B4%CE%B7%CE%BC%20%5B30%5D&amp;chco=0000e0&amp;chd=e%3ANe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hart.googleapis.com/chart?cht=p&amp;chs=345x150&amp;chl=%CE%94%CE%B5%CE%BD%20%CE%BE%CE%B1%CE%BD%CE%B1%CE%B5%CE%AF%CE%B4%CE%B1%20%20%5B8%5D%7C%CE%91%CF%80%CE%BB%CE%AC%20%CE%BC%CE%BF%CF%85%20%CE%B4%CE%B7%CE%BC%20%5B30%5D&amp;chco=0000e0&amp;chd=e%3ANey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1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Δεν ξαναείδα τέτοιου είδους ταινία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21%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Απλά μου δημιούργησε μια μικρή ανησυχία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79%</w:t>
            </w:r>
          </w:p>
        </w:tc>
      </w:tr>
    </w:tbl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70795C" w:rsidRDefault="0070795C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  <w:lang w:val="en-US"/>
        </w:rPr>
      </w:pPr>
    </w:p>
    <w:p w:rsidR="00B755A8" w:rsidRDefault="00B755A8" w:rsidP="00B755A8">
      <w:pPr>
        <w:pStyle w:val="3"/>
        <w:shd w:val="clear" w:color="auto" w:fill="FFFFFF"/>
        <w:spacing w:before="48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Πως σας φάνηκε το ερωτηματολόγιο;</w:t>
      </w:r>
    </w:p>
    <w:p w:rsidR="00B755A8" w:rsidRDefault="00B755A8" w:rsidP="00B755A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3285490" cy="1424940"/>
            <wp:effectExtent l="19050" t="0" r="0" b="0"/>
            <wp:docPr id="31" name="Εικόνα 31" descr="https://chart.googleapis.com/chart?cht=p&amp;chs=345x150&amp;chl=%CE%86%CF%81%CE%B9%CF%83%CF%84%CE%BF%20%5B21%5D%7C%CE%A0%CE%BF%CE%BB%CF%8D%20%CE%BA%CE%B1%CE%BB%CF%8C%20%20%5B38%5D%7C%CE%9A%CE%B1%CE%BB%CF%8C%20%5B41%5D&amp;chco=ff9900&amp;chd=e%3ANbYU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hart.googleapis.com/chart?cht=p&amp;chs=345x150&amp;chl=%CE%86%CF%81%CE%B9%CF%83%CF%84%CE%BF%20%5B21%5D%7C%CE%A0%CE%BF%CE%BB%CF%8D%20%CE%BA%CE%B1%CE%BB%CF%8C%20%20%5B38%5D%7C%CE%9A%CE%B1%CE%BB%CF%8C%20%5B41%5D&amp;chco=ff9900&amp;chd=e%3ANbYUa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570"/>
        <w:gridCol w:w="727"/>
      </w:tblGrid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Άριστο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21%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Πολύ καλό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38%</w:t>
            </w:r>
          </w:p>
        </w:tc>
      </w:tr>
      <w:tr w:rsidR="00B755A8" w:rsidTr="00B755A8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Καλό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B755A8" w:rsidRDefault="00B755A8">
            <w:pPr>
              <w:jc w:val="right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41%</w:t>
            </w:r>
          </w:p>
        </w:tc>
      </w:tr>
    </w:tbl>
    <w:p w:rsidR="00B755A8" w:rsidRDefault="00B755A8" w:rsidP="00CE43B0">
      <w:pPr>
        <w:rPr>
          <w:rFonts w:ascii="Arial" w:eastAsiaTheme="majorEastAsia" w:hAnsi="Arial" w:cs="Arial"/>
          <w:b/>
          <w:bCs/>
          <w:color w:val="000000"/>
          <w:sz w:val="26"/>
          <w:szCs w:val="26"/>
          <w:lang w:val="en-US"/>
        </w:rPr>
      </w:pPr>
    </w:p>
    <w:p w:rsidR="008C155C" w:rsidRDefault="008C155C" w:rsidP="00CE43B0">
      <w:pPr>
        <w:rPr>
          <w:rFonts w:ascii="Arial" w:eastAsiaTheme="majorEastAsia" w:hAnsi="Arial" w:cs="Arial"/>
          <w:b/>
          <w:bCs/>
          <w:color w:val="000000"/>
          <w:sz w:val="26"/>
          <w:szCs w:val="26"/>
          <w:lang w:val="en-US"/>
        </w:rPr>
      </w:pPr>
    </w:p>
    <w:p w:rsidR="008C155C" w:rsidRPr="00B755A8" w:rsidRDefault="008C155C" w:rsidP="00CE43B0">
      <w:pPr>
        <w:rPr>
          <w:rFonts w:ascii="Arial" w:hAnsi="Arial" w:cs="Arial"/>
          <w:sz w:val="24"/>
          <w:szCs w:val="24"/>
          <w:lang w:val="en-US"/>
        </w:rPr>
      </w:pPr>
    </w:p>
    <w:p w:rsidR="00CE43B0" w:rsidRPr="00153508" w:rsidRDefault="00CE43B0">
      <w:pPr>
        <w:rPr>
          <w:rFonts w:ascii="Arial" w:hAnsi="Arial" w:cs="Arial"/>
          <w:sz w:val="24"/>
          <w:szCs w:val="24"/>
        </w:rPr>
      </w:pPr>
    </w:p>
    <w:sectPr w:rsidR="00CE43B0" w:rsidRPr="00153508" w:rsidSect="00B95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3508"/>
    <w:rsid w:val="00153508"/>
    <w:rsid w:val="0070795C"/>
    <w:rsid w:val="008C155C"/>
    <w:rsid w:val="00B54118"/>
    <w:rsid w:val="00B755A8"/>
    <w:rsid w:val="00B956ED"/>
    <w:rsid w:val="00CE43B0"/>
    <w:rsid w:val="00EE6B4C"/>
    <w:rsid w:val="00F3034A"/>
    <w:rsid w:val="00F8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ED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CE4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E43B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43B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B7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671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817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850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207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064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04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647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2655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624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27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383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952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08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8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5259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988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00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925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059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53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7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88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103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41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254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57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95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768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29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57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369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1043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192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887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624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50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618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276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4155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01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018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01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664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4165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424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70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0274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076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9098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580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2467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7494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0275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5566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51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547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78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57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817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23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0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618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887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01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26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3618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75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396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3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43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88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13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016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59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799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910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66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920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9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92905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424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117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175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368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91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36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986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127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828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888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083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44670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D0CD7-468C-40F3-B5C6-911B8163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2O LYKEIO MEGARWN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2013-12-11T10:57:00Z</dcterms:created>
  <dcterms:modified xsi:type="dcterms:W3CDTF">2013-12-11T12:04:00Z</dcterms:modified>
</cp:coreProperties>
</file>